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200"/>
        <w:jc w:val="left"/>
      </w:pPr>
      <w:r>
        <w:t xml:space="preserve">Parties</w:t>
      </w:r>
    </w:p>
    <w:p>
      <w:pPr>
        <w:spacing w:after="120"/>
        <w:jc w:val="left"/>
      </w:pPr>
      <w:r>
        <w:t xml:space="preserve">Landlord: SCI Metz Immobilier, represented by Mr. Francois Leblond, Managing Director</w:t>
      </w:r>
      <w:r>
        <w:br/>
      </w:r>
      <w:r>
        <w:t xml:space="preserve">Tenant: DRIVECO SAS, represented by executive management</w:t>
      </w:r>
      <w:r>
        <w:br/>
      </w:r>
      <w:r>
        <w:t xml:space="preserve">Purpose: Lease of 8 parking spaces (P47 to P54) in the outdoor parking lot of Metz Borny shopping center for the installation and operation of EV charging stations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Term</w:t>
      </w:r>
    </w:p>
    <w:p>
      <w:pPr>
        <w:spacing w:after="120"/>
        <w:jc w:val="left"/>
      </w:pPr>
      <w:r>
        <w:t xml:space="preserve">Start date: January 1, 2026</w:t>
      </w:r>
      <w:r>
        <w:br/>
      </w:r>
      <w:r>
        <w:t xml:space="preserve">Initial term: 10 years (until December 31, 2035)</w:t>
      </w:r>
      <w:r>
        <w:br/>
      </w:r>
      <w:r>
        <w:t xml:space="preserve">Renewal option: 5 additional years by mutual agreement, with notification 12 months before expiry</w:t>
      </w:r>
      <w:r>
        <w:br/>
      </w:r>
      <w:r>
        <w:t xml:space="preserve">Early termination: possible from January 1, 2033, subject to 12 months' notice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Rent and financial terms</w:t>
      </w:r>
    </w:p>
    <w:p>
      <w:pPr>
        <w:spacing w:after="120"/>
        <w:jc w:val="left"/>
      </w:pPr>
      <w:r>
        <w:t xml:space="preserve">Base monthly rent: EUR 2,850.00 excl. VAT per month</w:t>
      </w:r>
      <w:r>
        <w:br/>
      </w:r>
      <w:r>
        <w:t xml:space="preserve">Annual indexation: ILC commercial rent index, reviewed every January 1</w:t>
      </w:r>
      <w:r>
        <w:br/>
      </w:r>
      <w:r>
        <w:t xml:space="preserve">First ILC adjustment: January 1, 2027</w:t>
      </w:r>
      <w:r>
        <w:br/>
      </w:r>
      <w:r>
        <w:t xml:space="preserve">Security deposit: EUR 8,550.00 (3 months' rent, paid at signing)</w:t>
      </w:r>
      <w:r>
        <w:br/>
      </w:r>
      <w:r>
        <w:t xml:space="preserve">Payment terms: Bank transfer, no later than the 1st day of each month</w:t>
      </w:r>
      <w:r>
        <w:br/>
      </w:r>
      <w:r>
        <w:t xml:space="preserve">Late payment penalties: Legal interest rate plus 3 points per month of delay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Tenant obligations (DRIVECO)</w:t>
      </w:r>
    </w:p>
    <w:p>
      <w:pPr>
        <w:spacing w:after="100"/>
        <w:ind w:start="20"/>
        <w:jc w:val="left"/>
      </w:pPr>
      <w:r>
        <w:t xml:space="preserve">1. </w:t>
      </w:r>
      <w:r>
        <w:t xml:space="preserve">Pay rent on time and in full</w:t>
      </w:r>
    </w:p>
    <w:p>
      <w:pPr>
        <w:spacing w:after="100"/>
        <w:ind w:start="20"/>
        <w:jc w:val="left"/>
      </w:pPr>
      <w:r>
        <w:t xml:space="preserve">2. </w:t>
      </w:r>
      <w:r>
        <w:t xml:space="preserve">Keep the charging stations in good working order (99% contractual uptime)</w:t>
      </w:r>
    </w:p>
    <w:p>
      <w:pPr>
        <w:spacing w:after="100"/>
        <w:ind w:start="20"/>
        <w:jc w:val="left"/>
      </w:pPr>
      <w:r>
        <w:t xml:space="preserve">3. </w:t>
      </w:r>
      <w:r>
        <w:t xml:space="preserve">Subscribe to and maintain civil liability insurance</w:t>
      </w:r>
    </w:p>
    <w:p>
      <w:pPr>
        <w:spacing w:after="100"/>
        <w:ind w:start="20"/>
        <w:jc w:val="left"/>
      </w:pPr>
      <w:r>
        <w:t xml:space="preserve">4. </w:t>
      </w:r>
      <w:r>
        <w:t xml:space="preserve">Inform the landlord of any technical incident within 24 hours</w:t>
      </w:r>
    </w:p>
    <w:p>
      <w:pPr>
        <w:spacing w:after="100"/>
        <w:ind w:start="20"/>
        <w:jc w:val="left"/>
      </w:pPr>
      <w:r>
        <w:t xml:space="preserve">5. </w:t>
      </w:r>
      <w:r>
        <w:t xml:space="preserve">Restore the parking spaces at the end of the lease (removal at DRIVECO's expense)</w:t>
      </w:r>
    </w:p>
    <w:p>
      <w:pPr>
        <w:spacing w:after="100"/>
        <w:ind w:start="20"/>
        <w:jc w:val="left"/>
      </w:pPr>
      <w:r>
        <w:t xml:space="preserve">6. </w:t>
      </w:r>
      <w:r>
        <w:t xml:space="preserve">Do not sublease or assign the lease without the landlord's written consent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Landlord obligations (SCI Metz Immobilier)</w:t>
      </w:r>
    </w:p>
    <w:p>
      <w:pPr>
        <w:spacing w:after="100"/>
        <w:ind w:start="20"/>
        <w:jc w:val="left"/>
      </w:pPr>
      <w:r>
        <w:t xml:space="preserve">1. </w:t>
      </w:r>
      <w:r>
        <w:t xml:space="preserve">Guarantee free access to the parking spaces 24/7</w:t>
      </w:r>
    </w:p>
    <w:p>
      <w:pPr>
        <w:spacing w:after="100"/>
        <w:ind w:start="20"/>
        <w:jc w:val="left"/>
      </w:pPr>
      <w:r>
        <w:t xml:space="preserve">2. </w:t>
      </w:r>
      <w:r>
        <w:t xml:space="preserve">Provide access to the low-voltage electrical network</w:t>
      </w:r>
    </w:p>
    <w:p>
      <w:pPr>
        <w:spacing w:after="100"/>
        <w:ind w:start="20"/>
        <w:jc w:val="left"/>
      </w:pPr>
      <w:r>
        <w:t xml:space="preserve">3. </w:t>
      </w:r>
      <w:r>
        <w:t xml:space="preserve">Inform DRIVECO of any planned works with 30 days' notice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Important clauses</w:t>
      </w:r>
    </w:p>
    <w:p>
      <w:pPr>
        <w:spacing w:after="120"/>
        <w:jc w:val="left"/>
      </w:pPr>
      <w:r>
        <w:t xml:space="preserve">Extraordinary rent review: If the average monthly utilization rate of the chargers exceeds 60% for 6 consecutive months, a review may be applied and capped at +15% of the current rent.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Termination for breach: In case of non-payment of rent for more than 60 days or failure to meet charger availability obligations, termination is possible with 30 days' notice.</w:t>
      </w:r>
    </w:p>
    <w:p>
      <w:pPr>
        <w:spacing w:after="200"/>
      </w:pPr>
      <w:r>
        <w:t xml:space="preserve"> </w:t>
      </w:r>
    </w:p>
    <w:p>
      <w:pPr>
        <w:pStyle w:val="Heading2"/>
        <w:spacing w:after="200"/>
        <w:jc w:val="left"/>
      </w:pPr>
      <w:r>
        <w:t xml:space="preserve">Key dates</w:t>
      </w:r>
    </w:p>
    <w:p>
      <w:pPr>
        <w:spacing w:after="240"/>
      </w:pPr>
      <w: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3700"/>
        <w:gridCol w:w="5660"/>
      </w:tblGrid>
      <w:tr>
        <w:trPr>
          <w:tblHeader/>
        </w:trPr>
        <w:tc>
          <w:p>
            <w:pPr>
              <w:jc w:val="left"/>
            </w:pPr>
            <w:r>
              <w:rPr>
                <w:b/>
                <w:bCs/>
              </w:rPr>
              <w:t xml:space="preserve">Date</w:t>
            </w:r>
          </w:p>
        </w:tc>
        <w:tc>
          <w:p>
            <w:pPr>
              <w:jc w:val="left"/>
            </w:pPr>
            <w:r>
              <w:rPr>
                <w:b/>
                <w:bCs/>
              </w:rPr>
              <w:t xml:space="preserve">Event</w:t>
            </w:r>
          </w:p>
        </w:tc>
      </w:tr>
      <w:tr>
        <w:tc>
          <w:p>
            <w:pPr>
              <w:jc w:val="left"/>
            </w:pPr>
            <w:r>
              <w:t xml:space="preserve">1st of each month</w:t>
            </w:r>
          </w:p>
        </w:tc>
        <w:tc>
          <w:p>
            <w:pPr>
              <w:jc w:val="left"/>
            </w:pPr>
            <w:r>
              <w:t xml:space="preserve">Rent payment (EUR 2,850 until ILC review)</w:t>
            </w:r>
          </w:p>
        </w:tc>
      </w:tr>
      <w:tr>
        <w:tc>
          <w:p>
            <w:pPr>
              <w:jc w:val="left"/>
            </w:pPr>
            <w:r>
              <w:t xml:space="preserve">January 1, 2027</w:t>
            </w:r>
          </w:p>
        </w:tc>
        <w:tc>
          <w:p>
            <w:pPr>
              <w:jc w:val="left"/>
            </w:pPr>
            <w:r>
              <w:t xml:space="preserve">First ILC review</w:t>
            </w:r>
          </w:p>
        </w:tc>
      </w:tr>
      <w:tr>
        <w:tc>
          <w:p>
            <w:pPr>
              <w:jc w:val="left"/>
            </w:pPr>
            <w:r>
              <w:t xml:space="preserve">December 31, 2035</w:t>
            </w:r>
          </w:p>
        </w:tc>
        <w:tc>
          <w:p>
            <w:pPr>
              <w:jc w:val="left"/>
            </w:pPr>
            <w:r>
              <w:t xml:space="preserve">Lease end date</w:t>
            </w:r>
          </w:p>
        </w:tc>
      </w:tr>
      <w:tr>
        <w:tc>
          <w:p>
            <w:pPr>
              <w:jc w:val="left"/>
            </w:pPr>
            <w:r>
              <w:t xml:space="preserve">January 1, 2033</w:t>
            </w:r>
          </w:p>
        </w:tc>
        <w:tc>
          <w:p>
            <w:pPr>
              <w:jc w:val="left"/>
            </w:pPr>
            <w:r>
              <w:t xml:space="preserve">First early termination option</w:t>
            </w:r>
          </w:p>
        </w:tc>
      </w:tr>
    </w:tbl>
    <w:p>
      <w:pPr>
        <w:spacing w:before="240"/>
      </w:pPr>
      <w:r>
        <w:t xml:space="preserve">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start"/>
      <w:pPr>
        <w:ind w:start="240" w:hanging="180"/>
      </w:pPr>
    </w:lvl>
    <w:lvl w:ilvl="1" w15:tentative="1">
      <w:start w:val="1"/>
      <w:numFmt w:val="bullet"/>
      <w:suff w:val="space"/>
      <w:lvlText w:val="○"/>
      <w:lvlJc w:val="start"/>
      <w:pPr>
        <w:ind w:start="660" w:hanging="180"/>
      </w:pPr>
    </w:lvl>
    <w:lvl w:ilvl="2" w15:tentative="1">
      <w:start w:val="1"/>
      <w:numFmt w:val="bullet"/>
      <w:suff w:val="space"/>
      <w:lvlText w:val="■"/>
      <w:lvlJc w:val="start"/>
      <w:pPr>
        <w:ind w:start="1080" w:hanging="180"/>
      </w:pPr>
    </w:lvl>
    <w:lvl w:ilvl="3" w15:tentative="1">
      <w:start w:val="1"/>
      <w:numFmt w:val="bullet"/>
      <w:suff w:val="space"/>
      <w:lvlText w:val="●"/>
      <w:lvlJc w:val="start"/>
      <w:pPr>
        <w:ind w:start="1500" w:hanging="180"/>
      </w:pPr>
    </w:lvl>
    <w:lvl w:ilvl="4" w15:tentative="1">
      <w:start w:val="1"/>
      <w:numFmt w:val="bullet"/>
      <w:suff w:val="space"/>
      <w:lvlText w:val="○"/>
      <w:lvlJc w:val="start"/>
      <w:pPr>
        <w:ind w:start="1920" w:hanging="180"/>
      </w:pPr>
    </w:lvl>
    <w:lvl w:ilvl="5" w15:tentative="1">
      <w:start w:val="1"/>
      <w:numFmt w:val="bullet"/>
      <w:suff w:val="space"/>
      <w:lvlText w:val="■"/>
      <w:lvlJc w:val="start"/>
      <w:pPr>
        <w:ind w:start="2340" w:hanging="180"/>
      </w:pPr>
    </w:lvl>
    <w:lvl w:ilvl="6" w15:tentative="1">
      <w:start w:val="1"/>
      <w:numFmt w:val="bullet"/>
      <w:suff w:val="space"/>
      <w:lvlText w:val="●"/>
      <w:lvlJc w:val="start"/>
      <w:pPr>
        <w:ind w:start="2760" w:hanging="180"/>
      </w:pPr>
    </w:lvl>
    <w:lvl w:ilvl="7" w15:tentative="1">
      <w:start w:val="1"/>
      <w:numFmt w:val="bullet"/>
      <w:suff w:val="space"/>
      <w:lvlText w:val="○"/>
      <w:lvlJc w:val="start"/>
      <w:pPr>
        <w:ind w:start="3180" w:hanging="180"/>
      </w:pPr>
    </w:lvl>
    <w:lvl w:ilvl="8" w15:tentative="1">
      <w:start w:val="1"/>
      <w:numFmt w:val="bullet"/>
      <w:suff w:val="space"/>
      <w:lvlText w:val="■"/>
      <w:lvlJc w:val="start"/>
      <w:pPr>
        <w:ind w:start="3600" w:hanging="1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2026-05-26T21:08:24.857Z</dcterms:created>
  <dcterms:modified xsi:type="dcterms:W3CDTF">2026-05-26T21:08:24.857Z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